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МАТЕРИАЛЫ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для членов информационно-пропагандистских групп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(июль 2022 г.)</w:t>
      </w:r>
    </w:p>
    <w:p w:rsidR="00B15B05" w:rsidRPr="00B15B05" w:rsidRDefault="00B15B05" w:rsidP="00B15B05">
      <w:pPr>
        <w:rPr>
          <w:rFonts w:eastAsia="Times New Roman" w:cs="Times New Roman"/>
          <w:lang w:eastAsia="ru-RU"/>
        </w:rPr>
      </w:pP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5911D2" w:rsidRPr="00B15B05" w:rsidRDefault="00740F8E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Коррупция (от лат. corrumpere – портить) н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а разных этапах общественного развития </w:t>
      </w:r>
      <w:r w:rsidRPr="00B15B05">
        <w:rPr>
          <w:rFonts w:eastAsia="Times New Roman" w:cs="Times New Roman"/>
          <w:color w:val="323130"/>
          <w:lang w:eastAsia="ru-RU"/>
        </w:rPr>
        <w:t xml:space="preserve">выступает </w:t>
      </w:r>
      <w:r w:rsidR="005911D2" w:rsidRPr="00B15B05">
        <w:rPr>
          <w:rFonts w:eastAsia="Times New Roman" w:cs="Times New Roman"/>
          <w:color w:val="323130"/>
          <w:lang w:eastAsia="ru-RU"/>
        </w:rPr>
        <w:t>одним из самых пагубных явлений</w:t>
      </w:r>
      <w:r w:rsidR="00A8162F" w:rsidRPr="00B15B05">
        <w:rPr>
          <w:rFonts w:eastAsia="Times New Roman" w:cs="Times New Roman"/>
          <w:color w:val="323130"/>
          <w:lang w:eastAsia="ru-RU"/>
        </w:rPr>
        <w:t>.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Например, в римском правеоно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B15B05">
        <w:t>в отношении судей или судьями.</w:t>
      </w:r>
      <w:r w:rsidRPr="00B15B05"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По мере развития человеческого общества и смены общественно- экономических формаций коррупция начинает проникать во все сферы общественно</w:t>
      </w:r>
      <w:r w:rsidR="00A002A8" w:rsidRPr="00B15B05">
        <w:t>йжизни</w:t>
      </w:r>
      <w:r w:rsidRPr="00B15B05">
        <w:t xml:space="preserve">, в органы управления государством и политику. Поэтому </w:t>
      </w:r>
      <w:r w:rsidRPr="00B15B05">
        <w:rPr>
          <w:rStyle w:val="21"/>
          <w:b w:val="0"/>
        </w:rPr>
        <w:t>коррупцию стали рассматривать как разложение власти.</w:t>
      </w:r>
    </w:p>
    <w:p w:rsidR="004A5848" w:rsidRPr="00B15B05" w:rsidRDefault="004A5848" w:rsidP="004A5848">
      <w:pPr>
        <w:pStyle w:val="30"/>
        <w:shd w:val="clear" w:color="auto" w:fill="auto"/>
      </w:pPr>
      <w:r w:rsidRPr="00B15B05">
        <w:rPr>
          <w:rStyle w:val="31"/>
        </w:rPr>
        <w:t xml:space="preserve">Например, по определению </w:t>
      </w:r>
      <w:r w:rsidR="00740F8E" w:rsidRPr="00B15B05">
        <w:rPr>
          <w:rStyle w:val="31"/>
        </w:rPr>
        <w:t xml:space="preserve">итальянского дипломата и философа эпохи Возрождения </w:t>
      </w:r>
      <w:r w:rsidRPr="00B15B05">
        <w:rPr>
          <w:rStyle w:val="31"/>
        </w:rPr>
        <w:t xml:space="preserve">Николо Макиавелли, </w:t>
      </w:r>
      <w:r w:rsidRPr="00B15B05">
        <w:rPr>
          <w:b w:val="0"/>
        </w:rPr>
        <w:t>коррупция - это использование публичных возможностей в личных интересах.</w:t>
      </w:r>
    </w:p>
    <w:p w:rsidR="004A5848" w:rsidRPr="00B15B05" w:rsidRDefault="00740F8E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Английский философ </w:t>
      </w:r>
      <w:r w:rsidR="004A5848" w:rsidRPr="00B15B05">
        <w:t xml:space="preserve">Томас Гоббс </w:t>
      </w:r>
      <w:r w:rsidRPr="00B15B05">
        <w:t>в 17 веке писал</w:t>
      </w:r>
      <w:r w:rsidR="004A5848" w:rsidRPr="00B15B05"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На </w:t>
      </w:r>
      <w:r w:rsidRPr="00B15B05">
        <w:rPr>
          <w:rStyle w:val="21"/>
          <w:b w:val="0"/>
        </w:rPr>
        <w:t>Руси</w:t>
      </w:r>
      <w:r w:rsidRPr="00B15B05">
        <w:t>коррупция процветала во все времена. Получение взятки за совершение законных действий называлось мздоимством, а за незаконные действия - лихоимством.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Законодательное огр</w:t>
      </w:r>
      <w:r w:rsidR="00A8162F" w:rsidRPr="00B15B05">
        <w:t>аничение коррупции в России</w:t>
      </w:r>
      <w:r w:rsidRPr="00B15B05">
        <w:t xml:space="preserve"> введено царем Иваном III, а Иван Грозный ввел смертную казнь в качестве наказания за </w:t>
      </w:r>
      <w:r w:rsidR="00A002A8" w:rsidRPr="00B15B05">
        <w:t>«</w:t>
      </w:r>
      <w:r w:rsidRPr="00B15B05">
        <w:t>чрезмерность во взятках</w:t>
      </w:r>
      <w:r w:rsidR="00A002A8" w:rsidRPr="00B15B05">
        <w:t>»</w:t>
      </w:r>
      <w:r w:rsidRPr="00B15B05">
        <w:t>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Во второй половине XX века </w:t>
      </w:r>
      <w:bookmarkStart w:id="0" w:name="_GoBack"/>
      <w:r w:rsidRPr="00B15B05">
        <w:t>коррупция стала уже ме</w:t>
      </w:r>
      <w:r w:rsidR="00814378" w:rsidRPr="00B15B05">
        <w:t>ж</w:t>
      </w:r>
      <w:r w:rsidRPr="00B15B05">
        <w:t xml:space="preserve">дународной </w:t>
      </w:r>
      <w:bookmarkEnd w:id="0"/>
      <w:r w:rsidRPr="00B15B05">
        <w:t xml:space="preserve">проблемой. Подкуп высших должностных лиц приобрел массовый характер. Глобализация привела к тому, что коррупция в одной стране </w:t>
      </w:r>
      <w:r w:rsidRPr="00B15B05">
        <w:lastRenderedPageBreak/>
        <w:t>стала негативно сказываться на развитии многих других государств.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Италии в 1992 году в ходе проведения операции «Чистые руки» были вскрыты многочисленные факты коррупции в высших эшелонах власти страны.</w:t>
      </w:r>
    </w:p>
    <w:p w:rsidR="0081437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Проведенные в 1997 году исследования показали, что исключительно высокий уровень коррупции сложился в деловой среде Японии. 1 850 обследованных японских компаний в 90-е годы в том или ином виде были замешаны в коррупционных скандалах.</w:t>
      </w:r>
    </w:p>
    <w:p w:rsidR="004A5848" w:rsidRPr="00B15B05" w:rsidRDefault="00E02C64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2017-2018 годах</w:t>
      </w:r>
      <w:r w:rsidR="00814378" w:rsidRPr="00B15B05">
        <w:t xml:space="preserve"> коррупционный скандал потряс Южную Корею и привел к отстранению Конституционным суд</w:t>
      </w:r>
      <w:r w:rsidRPr="00B15B05">
        <w:t xml:space="preserve">ом президента страны </w:t>
      </w:r>
      <w:r w:rsidR="00814378" w:rsidRPr="00B15B05">
        <w:t>и осуждению к 5 годам тюрьмы главы корпорации Самсунг  миллиардера Ли Чжэ</w:t>
      </w:r>
      <w:r w:rsidR="001663C8" w:rsidRPr="00B15B05">
        <w:t xml:space="preserve"> Ена</w:t>
      </w:r>
      <w:r w:rsidR="00814378" w:rsidRPr="00B15B05">
        <w:t xml:space="preserve"> (речь шла о переводе 38 млн</w:t>
      </w:r>
      <w:r w:rsidR="001663C8" w:rsidRPr="00B15B05">
        <w:t>.</w:t>
      </w:r>
      <w:r w:rsidR="00814378" w:rsidRPr="00B15B05">
        <w:t xml:space="preserve"> долла</w:t>
      </w:r>
      <w:r w:rsidR="001663C8" w:rsidRPr="00B15B05">
        <w:t xml:space="preserve">ров в фонды подруги президента. </w:t>
      </w:r>
      <w:r w:rsidR="00814378" w:rsidRPr="00B15B05">
        <w:t xml:space="preserve">Сделано это было </w:t>
      </w:r>
      <w:r w:rsidR="005911D2" w:rsidRPr="00B15B05"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Германии, согласно официальной статист</w:t>
      </w:r>
      <w:r w:rsidR="001663C8" w:rsidRPr="00B15B05">
        <w:t>ике в 1997-</w:t>
      </w:r>
      <w:r w:rsidR="0067698A" w:rsidRPr="00B15B05">
        <w:t>1999 гг. в получении</w:t>
      </w:r>
      <w:r w:rsidRPr="00B15B05"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B15B05">
        <w:t>за взятки оценивались в 10 млрд.</w:t>
      </w:r>
      <w:r w:rsidRPr="00B15B05"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>ганизация ТранспарэнсиИнтернэшенэ</w:t>
      </w:r>
      <w:r w:rsidRPr="00B15B05">
        <w:rPr>
          <w:rFonts w:eastAsia="Times New Roman" w:cs="Times New Roman"/>
          <w:color w:val="323130"/>
          <w:lang w:eastAsia="ru-RU"/>
        </w:rPr>
        <w:t xml:space="preserve">л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-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981150" w:rsidRPr="00B15B05">
        <w:rPr>
          <w:rFonts w:eastAsia="Times New Roman" w:cs="Times New Roman"/>
          <w:color w:val="323130"/>
          <w:lang w:eastAsia="ru-RU"/>
        </w:rPr>
        <w:t>нашей стране</w:t>
      </w:r>
      <w:r w:rsidRPr="00B15B05">
        <w:rPr>
          <w:rFonts w:eastAsia="Times New Roman" w:cs="Times New Roman"/>
          <w:color w:val="323130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Справочно: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 xml:space="preserve"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услугот граждан, учреждений и организаций за выполнение своих служебных </w:t>
      </w:r>
      <w:r w:rsidRPr="00B15B05">
        <w:rPr>
          <w:rFonts w:eastAsia="Times New Roman" w:cs="Times New Roman"/>
          <w:i/>
          <w:color w:val="323130"/>
          <w:lang w:eastAsia="ru-RU"/>
        </w:rPr>
        <w:lastRenderedPageBreak/>
        <w:t>обязанностей.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lastRenderedPageBreak/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- 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или для третьих лиц в связи с исполнением служебных (трудовых) обязанностей;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являетсяГенеральная прокуратура Республики Беларусь.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B15B05" w:rsidRDefault="00683842" w:rsidP="002634BC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Данным общественным формированиям в настоящее время придается большое значение в вопросах профилактики коррупционных </w:t>
      </w:r>
      <w:r w:rsidRPr="00B15B05">
        <w:rPr>
          <w:rFonts w:cs="Times New Roman"/>
          <w:color w:val="171717"/>
        </w:rPr>
        <w:lastRenderedPageBreak/>
        <w:t xml:space="preserve">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5A0753" w:rsidRPr="00B15B05" w:rsidRDefault="005A0753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Работниками прокуратуры на системной основе проводятся правовоспитательные мероприятия, на которых доводятся требования действующего законодательства о борьбе с коррупцией. При этом предоставляются</w:t>
      </w:r>
      <w:r w:rsidR="00CC101E" w:rsidRPr="00B15B05">
        <w:rPr>
          <w:rFonts w:eastAsia="Times New Roman" w:cs="Times New Roman"/>
          <w:color w:val="323130"/>
          <w:lang w:eastAsia="ru-RU"/>
        </w:rPr>
        <w:t>,</w:t>
      </w:r>
      <w:r w:rsidRPr="00B15B05">
        <w:rPr>
          <w:rFonts w:eastAsia="Times New Roman" w:cs="Times New Roman"/>
          <w:color w:val="323130"/>
          <w:lang w:eastAsia="ru-RU"/>
        </w:rPr>
        <w:t xml:space="preserve"> в т.ч. в электронном виде Методические рекомендации, ра</w:t>
      </w:r>
      <w:r w:rsidR="00CC101E" w:rsidRPr="00B15B05">
        <w:rPr>
          <w:rFonts w:eastAsia="Times New Roman" w:cs="Times New Roman"/>
          <w:color w:val="323130"/>
          <w:lang w:eastAsia="ru-RU"/>
        </w:rPr>
        <w:t>зработанные в 2019 году Генеральной прокурат</w:t>
      </w:r>
      <w:r w:rsidRPr="00B15B05">
        <w:rPr>
          <w:rFonts w:eastAsia="Times New Roman" w:cs="Times New Roman"/>
          <w:color w:val="323130"/>
          <w:lang w:eastAsia="ru-RU"/>
        </w:rPr>
        <w:t>урой</w:t>
      </w:r>
      <w:r w:rsidR="00CC101E" w:rsidRPr="00B15B05">
        <w:rPr>
          <w:rFonts w:eastAsia="Times New Roman" w:cs="Times New Roman"/>
          <w:color w:val="323130"/>
          <w:lang w:eastAsia="ru-RU"/>
        </w:rPr>
        <w:t xml:space="preserve"> Республики Беларусь, по организации антикоррупционной работы в государственных органах и организациях.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коррупции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>в том числе совершение хищений, сокрытие руководителем организации фактов нарушения работником трудовых обязанностей или непривлечение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перенесены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Назначение таких лиц на руководящие должности в иные организации допускается при согласовании с председателем горрайисполкома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E17237" w:rsidRPr="00B15B05" w:rsidRDefault="00A403E9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</w:t>
      </w:r>
      <w:r w:rsidR="00E17237" w:rsidRPr="00B15B05">
        <w:rPr>
          <w:rFonts w:cs="Times New Roman"/>
          <w:color w:val="171717"/>
        </w:rPr>
        <w:t>, за нарушение письменных обязательств</w:t>
      </w:r>
      <w:r w:rsidRPr="00B15B05">
        <w:rPr>
          <w:rFonts w:cs="Times New Roman"/>
          <w:color w:val="171717"/>
        </w:rPr>
        <w:t>,</w:t>
      </w:r>
      <w:r w:rsidR="00E17237" w:rsidRPr="00B15B05">
        <w:rPr>
          <w:rFonts w:cs="Times New Roman"/>
          <w:color w:val="171717"/>
        </w:rPr>
        <w:t xml:space="preserve"> совершение правонарушений </w:t>
      </w:r>
      <w:r w:rsidR="00CF7693" w:rsidRPr="00B15B05">
        <w:rPr>
          <w:rFonts w:cs="Times New Roman"/>
          <w:color w:val="171717"/>
        </w:rPr>
        <w:t xml:space="preserve">рассматриваемой категории </w:t>
      </w:r>
      <w:r w:rsidR="00E17237" w:rsidRPr="00B15B05">
        <w:rPr>
          <w:rFonts w:cs="Times New Roman"/>
          <w:color w:val="171717"/>
        </w:rPr>
        <w:t>Трудовым кодексом предусмотрен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специальн</w:t>
      </w:r>
      <w:r w:rsidRPr="00B15B05">
        <w:rPr>
          <w:rFonts w:cs="Times New Roman"/>
          <w:color w:val="171717"/>
        </w:rPr>
        <w:t>ая</w:t>
      </w:r>
      <w:r w:rsidR="00E17237" w:rsidRPr="00B15B05">
        <w:rPr>
          <w:rFonts w:cs="Times New Roman"/>
          <w:color w:val="171717"/>
        </w:rPr>
        <w:t xml:space="preserve"> норм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о прекращении трудового договора (</w:t>
      </w:r>
      <w:r w:rsidR="00CF7693" w:rsidRPr="00B15B05">
        <w:rPr>
          <w:rFonts w:cs="Times New Roman"/>
          <w:color w:val="171717"/>
        </w:rPr>
        <w:t>пункт</w:t>
      </w:r>
      <w:r w:rsidR="00E17237" w:rsidRPr="00B15B05">
        <w:rPr>
          <w:rFonts w:cs="Times New Roman"/>
          <w:color w:val="171717"/>
        </w:rPr>
        <w:t xml:space="preserve"> 5-1 </w:t>
      </w:r>
      <w:r w:rsidR="00CF7693" w:rsidRPr="00B15B05">
        <w:rPr>
          <w:rFonts w:cs="Times New Roman"/>
          <w:color w:val="171717"/>
        </w:rPr>
        <w:t xml:space="preserve">статьи 47 </w:t>
      </w:r>
      <w:r w:rsidR="00E17237" w:rsidRPr="00B15B05">
        <w:rPr>
          <w:rFonts w:cs="Times New Roman"/>
          <w:color w:val="171717"/>
        </w:rPr>
        <w:t>ТК).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lastRenderedPageBreak/>
        <w:t xml:space="preserve">Административная ответственность </w:t>
      </w:r>
      <w:r w:rsidR="00F1153C" w:rsidRPr="00B15B05">
        <w:rPr>
          <w:rFonts w:cs="Times New Roman"/>
          <w:color w:val="171717"/>
        </w:rPr>
        <w:t xml:space="preserve">предусмотрена </w:t>
      </w:r>
      <w:r w:rsidRPr="00B15B05">
        <w:rPr>
          <w:rFonts w:cs="Times New Roman"/>
          <w:color w:val="171717"/>
        </w:rPr>
        <w:t>за нарушение</w:t>
      </w:r>
      <w:r w:rsidR="00F1153C" w:rsidRPr="00B15B05">
        <w:rPr>
          <w:rFonts w:cs="Times New Roman"/>
          <w:color w:val="171717"/>
        </w:rPr>
        <w:t xml:space="preserve"> процедур закупок, </w:t>
      </w:r>
      <w:r w:rsidRPr="00B15B05">
        <w:rPr>
          <w:rFonts w:cs="Times New Roman"/>
          <w:color w:val="171717"/>
        </w:rPr>
        <w:t>за предоставление недостов</w:t>
      </w:r>
      <w:r w:rsidR="00F1153C" w:rsidRPr="00B15B05">
        <w:rPr>
          <w:rFonts w:cs="Times New Roman"/>
          <w:color w:val="171717"/>
        </w:rPr>
        <w:t>ерной статистической отчетности, за мелкое хищение</w:t>
      </w:r>
      <w:r w:rsidRPr="00B15B05">
        <w:rPr>
          <w:rFonts w:cs="Times New Roman"/>
          <w:color w:val="171717"/>
        </w:rPr>
        <w:t>, за нарушение законодательства о декларировании</w:t>
      </w:r>
      <w:r w:rsidR="00F1153C" w:rsidRPr="00B15B05">
        <w:rPr>
          <w:rFonts w:cs="Times New Roman"/>
          <w:color w:val="171717"/>
        </w:rPr>
        <w:t xml:space="preserve"> доходов и имущества</w:t>
      </w:r>
      <w:r w:rsidRPr="00B15B05">
        <w:rPr>
          <w:rFonts w:cs="Times New Roman"/>
          <w:color w:val="171717"/>
        </w:rPr>
        <w:t xml:space="preserve"> и т.д.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КоАП).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>: Брестская – 41, Витебская – 27, Гомельская – 53, Гродненская – 37, Минская – 53, Могилевская – 70,      г. Минск – 115.</w:t>
      </w:r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22CB" w:rsidRPr="00B15B05" w:rsidRDefault="00A403E9" w:rsidP="00A403E9">
      <w:pPr>
        <w:rPr>
          <w:rFonts w:cs="Times New Roman"/>
        </w:rPr>
      </w:pPr>
      <w:r w:rsidRPr="00B15B05">
        <w:rPr>
          <w:rFonts w:cs="Times New Roman"/>
        </w:rPr>
        <w:tab/>
      </w:r>
    </w:p>
    <w:p w:rsidR="004422CB" w:rsidRPr="00B15B05" w:rsidRDefault="004422CB" w:rsidP="00A403E9">
      <w:pPr>
        <w:rPr>
          <w:rFonts w:cs="Times New Roman"/>
        </w:rPr>
      </w:pPr>
    </w:p>
    <w:p w:rsidR="004422CB" w:rsidRPr="00B15B05" w:rsidRDefault="004422CB" w:rsidP="00A403E9">
      <w:pPr>
        <w:rPr>
          <w:rFonts w:cs="Times New Roman"/>
        </w:rPr>
      </w:pPr>
    </w:p>
    <w:p w:rsidR="009B6EE7" w:rsidRPr="00B15B05" w:rsidRDefault="00A403E9" w:rsidP="009B6EE7">
      <w:pPr>
        <w:ind w:firstLine="708"/>
        <w:rPr>
          <w:rFonts w:cs="Times New Roman"/>
        </w:rPr>
      </w:pPr>
      <w:r w:rsidRPr="00B15B05">
        <w:rPr>
          <w:rFonts w:cs="Times New Roman"/>
        </w:rPr>
        <w:t>Количество 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 следующими цифрами: </w:t>
      </w:r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Pr="00B15B05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Материальный ущерб, причиненный коррупционными преступлениями, зарегистрированными в Гродненской области составил 291427,71 рублей, в том числе возмещен в ходе расследования– на сумму 161710, 94 рублей. Наложен арест на имущество виновных лиц на сумму 240636,58 рублей.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lastRenderedPageBreak/>
        <w:drawing>
          <wp:inline distT="0" distB="0" distL="0" distR="0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Так, в апреле т.г.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Дембицким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Зельвенского района Сечейко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Жуховичского и Лукского сельских исполнительных комитетов Кореличского района Ивашко А.В. и Волчёк Л.И.</w:t>
      </w:r>
      <w:r w:rsidR="00587F65" w:rsidRPr="00B15B05">
        <w:rPr>
          <w:rFonts w:eastAsia="Calibri" w:cs="Times New Roman"/>
        </w:rPr>
        <w:t>, председатель БорунскогосельисполкомаОшмянского района Дулько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цеха  ОАО «Гродненский мясокомбинат» Боряев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организаций </w:t>
      </w:r>
      <w:r w:rsidR="0084454C" w:rsidRPr="00B15B05">
        <w:rPr>
          <w:rFonts w:eastAsia="Calibri" w:cs="Times New Roman"/>
        </w:rPr>
        <w:t xml:space="preserve"> взятки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комплекса одного из филиалов ОАО«Агрокомбинат «Скидельский» Гайдамович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lastRenderedPageBreak/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 xml:space="preserve">сокрытия падежа скотав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>прокуратурой 12.03.2022 возбуждено уголовное дело в отношении индивидуального предпринимателя Белогура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B15B05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заключении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 xml:space="preserve">. Официальные предупреждения о недопустимости нарушения законодательства вынесены 48 лицам. В возмещение ущерба, причиненного коррупционными правонарушениями с 38 физических и 2 юридических лиц взыскано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>,4 тыс. рублей в связи с нарушениями антикоррупционного законодательства.</w:t>
      </w:r>
    </w:p>
    <w:p w:rsidR="00E02C64" w:rsidRPr="00B15B05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В </w:t>
      </w:r>
      <w:r w:rsidR="00E02C64" w:rsidRPr="00B15B05">
        <w:rPr>
          <w:rFonts w:cs="Times New Roman"/>
        </w:rPr>
        <w:t xml:space="preserve">частности, прокурорами выявлен ряд фактов нарушений государственными должностными лицами установленных антикоррупционных ограничений, связанных с необоснованным получением денежных средств, в т.ч.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</w:t>
      </w:r>
      <w:r w:rsidR="00E02C64" w:rsidRPr="00B15B05">
        <w:rPr>
          <w:rFonts w:cs="Times New Roman"/>
        </w:rPr>
        <w:lastRenderedPageBreak/>
        <w:t xml:space="preserve">взыскание денежных средств, полученных с нарушением антикоррупционного законодательства, на общую сумму 55,3 тыс. рублей. </w:t>
      </w:r>
    </w:p>
    <w:p w:rsidR="00E02C64" w:rsidRPr="00B15B05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По инициативе прокуратуры области налоговыми органами </w:t>
      </w:r>
      <w:r w:rsidR="004C4D9E" w:rsidRPr="00B15B05">
        <w:rPr>
          <w:rFonts w:cs="Times New Roman"/>
        </w:rPr>
        <w:t>в соответствии со статьей</w:t>
      </w:r>
      <w:r w:rsidRPr="00B15B05">
        <w:rPr>
          <w:rFonts w:cs="Times New Roman"/>
        </w:rPr>
        <w:t xml:space="preserve"> 36 Закона </w:t>
      </w:r>
      <w:r w:rsidR="004C4D9E" w:rsidRPr="00B15B05">
        <w:rPr>
          <w:rFonts w:cs="Times New Roman"/>
        </w:rPr>
        <w:t>о борьбе с коррупцией</w:t>
      </w:r>
      <w:r w:rsidRPr="00B15B05">
        <w:rPr>
          <w:rFonts w:cs="Times New Roman"/>
        </w:rPr>
        <w:t xml:space="preserve"> взыскано в республиканский бюджет 60,8 тыс. рублей с бывшего генерального директора ОАО «Лидсельмаш» Вашкевича Ю.Э. и членов его семьи в связи с явным превышением стоимости принадлежащего </w:t>
      </w:r>
      <w:r w:rsidR="004C4D9E" w:rsidRPr="00B15B05">
        <w:rPr>
          <w:rFonts w:cs="Times New Roman"/>
        </w:rPr>
        <w:t xml:space="preserve">указанным лицам </w:t>
      </w:r>
      <w:r w:rsidRPr="00B15B05">
        <w:rPr>
          <w:rFonts w:cs="Times New Roman"/>
        </w:rPr>
        <w:t>имущества и иных расходов над их доходами.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По-прежнему выявляются неединичные факты неразмещения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«Озеранский» Гизовского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Продолжают выявлять</w:t>
      </w:r>
      <w:r w:rsidR="00F64436" w:rsidRPr="00B15B05">
        <w:rPr>
          <w:rFonts w:cs="Times New Roman"/>
        </w:rPr>
        <w:t>ся факты нарушения государственными должностными лицами ограничений,  установленных антикоррупционным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lastRenderedPageBreak/>
        <w:t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Белгосстраха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="00A61504" w:rsidRPr="00B15B05">
        <w:rPr>
          <w:rFonts w:cs="Times New Roman"/>
        </w:rPr>
        <w:t>ОАО «Дятловскийликеро-водочн</w:t>
      </w:r>
      <w:r w:rsidR="009F177B" w:rsidRPr="00B15B05">
        <w:rPr>
          <w:rFonts w:cs="Times New Roman"/>
        </w:rPr>
        <w:t xml:space="preserve">ый завод «Алгонь»,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</w:p>
    <w:p w:rsidR="00700002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Вышеуказанные факты свидетельствуют о том, что руководители ряд</w:t>
      </w:r>
      <w:r w:rsidR="00741809" w:rsidRPr="00B15B05">
        <w:rPr>
          <w:rFonts w:cs="Times New Roman"/>
        </w:rPr>
        <w:t>а государственных органов и</w:t>
      </w:r>
      <w:r w:rsidRPr="00B15B05">
        <w:rPr>
          <w:rFonts w:cs="Times New Roman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антикоррупционного законодательства.</w:t>
      </w:r>
    </w:p>
    <w:p w:rsidR="00A61504" w:rsidRPr="00B15B05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</w:p>
    <w:p w:rsidR="004C4D9E" w:rsidRPr="00B15B05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</w:rPr>
      </w:pPr>
      <w:r w:rsidRPr="00B15B05">
        <w:rPr>
          <w:rFonts w:cs="Times New Roman"/>
        </w:rPr>
        <w:tab/>
      </w:r>
    </w:p>
    <w:p w:rsidR="00A61504" w:rsidRPr="00B15B05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9B6EE7" w:rsidRPr="00B15B05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lang w:val="be-BY"/>
        </w:rPr>
      </w:pPr>
    </w:p>
    <w:p w:rsidR="00BA3667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2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1E" w:rsidRDefault="00C5231E" w:rsidP="00FB59FF">
      <w:r>
        <w:separator/>
      </w:r>
    </w:p>
  </w:endnote>
  <w:endnote w:type="continuationSeparator" w:id="1">
    <w:p w:rsidR="00C5231E" w:rsidRDefault="00C5231E" w:rsidP="00FB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1E" w:rsidRDefault="00C5231E" w:rsidP="00FB59FF">
      <w:r>
        <w:separator/>
      </w:r>
    </w:p>
  </w:footnote>
  <w:footnote w:type="continuationSeparator" w:id="1">
    <w:p w:rsidR="00C5231E" w:rsidRDefault="00C5231E" w:rsidP="00FB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29704"/>
      <w:docPartObj>
        <w:docPartGallery w:val="Page Numbers (Top of Page)"/>
        <w:docPartUnique/>
      </w:docPartObj>
    </w:sdtPr>
    <w:sdtContent>
      <w:p w:rsidR="005A0753" w:rsidRDefault="00381736">
        <w:pPr>
          <w:pStyle w:val="a3"/>
          <w:jc w:val="center"/>
        </w:pPr>
        <w:r>
          <w:fldChar w:fldCharType="begin"/>
        </w:r>
        <w:r w:rsidR="00BF7642">
          <w:instrText xml:space="preserve"> PAGE   \* MERGEFORMAT </w:instrText>
        </w:r>
        <w:r>
          <w:fldChar w:fldCharType="separate"/>
        </w:r>
        <w:r w:rsidR="00FF2F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48"/>
    <w:rsid w:val="00011459"/>
    <w:rsid w:val="00024866"/>
    <w:rsid w:val="00067261"/>
    <w:rsid w:val="00123F99"/>
    <w:rsid w:val="0014515F"/>
    <w:rsid w:val="0015291B"/>
    <w:rsid w:val="001663C8"/>
    <w:rsid w:val="00185F0D"/>
    <w:rsid w:val="001A1EAA"/>
    <w:rsid w:val="001B1FDB"/>
    <w:rsid w:val="002634BC"/>
    <w:rsid w:val="00380DC8"/>
    <w:rsid w:val="00381736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936BF9"/>
    <w:rsid w:val="009446A6"/>
    <w:rsid w:val="00981150"/>
    <w:rsid w:val="009B6EE7"/>
    <w:rsid w:val="009F177B"/>
    <w:rsid w:val="00A002A8"/>
    <w:rsid w:val="00A25271"/>
    <w:rsid w:val="00A403E9"/>
    <w:rsid w:val="00A61504"/>
    <w:rsid w:val="00A8162F"/>
    <w:rsid w:val="00A974CB"/>
    <w:rsid w:val="00AB5B77"/>
    <w:rsid w:val="00AD2528"/>
    <w:rsid w:val="00B15B05"/>
    <w:rsid w:val="00B666E8"/>
    <w:rsid w:val="00BA3667"/>
    <w:rsid w:val="00BC7D37"/>
    <w:rsid w:val="00BF7642"/>
    <w:rsid w:val="00C14452"/>
    <w:rsid w:val="00C35A3D"/>
    <w:rsid w:val="00C5231E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B59FF"/>
    <w:rsid w:val="00FE3D6D"/>
    <w:rsid w:val="00F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gapWidth val="219"/>
        <c:overlap val="-27"/>
        <c:axId val="110359680"/>
        <c:axId val="110361216"/>
      </c:barChart>
      <c:catAx>
        <c:axId val="110359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61216"/>
        <c:crosses val="autoZero"/>
        <c:auto val="1"/>
        <c:lblAlgn val="ctr"/>
        <c:lblOffset val="100"/>
      </c:catAx>
      <c:valAx>
        <c:axId val="110361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gapWidth val="219"/>
        <c:overlap val="-27"/>
        <c:axId val="120276864"/>
        <c:axId val="120278400"/>
      </c:barChart>
      <c:catAx>
        <c:axId val="120276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78400"/>
        <c:crosses val="autoZero"/>
        <c:auto val="1"/>
        <c:lblAlgn val="ctr"/>
        <c:lblOffset val="100"/>
      </c:catAx>
      <c:valAx>
        <c:axId val="12027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7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219"/>
        <c:overlap val="-27"/>
        <c:axId val="120466048"/>
        <c:axId val="120480128"/>
      </c:barChart>
      <c:catAx>
        <c:axId val="120466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80128"/>
        <c:crosses val="autoZero"/>
        <c:auto val="1"/>
        <c:lblAlgn val="ctr"/>
        <c:lblOffset val="100"/>
      </c:catAx>
      <c:valAx>
        <c:axId val="120480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6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Width val="219"/>
        <c:overlap val="-27"/>
        <c:axId val="121793920"/>
        <c:axId val="121820288"/>
      </c:barChart>
      <c:catAx>
        <c:axId val="12179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20288"/>
        <c:crosses val="autoZero"/>
        <c:auto val="1"/>
        <c:lblAlgn val="ctr"/>
        <c:lblOffset val="100"/>
      </c:catAx>
      <c:valAx>
        <c:axId val="12182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79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</c:ser>
        <c:gapWidth val="219"/>
        <c:overlap val="-27"/>
        <c:axId val="121912704"/>
        <c:axId val="121926784"/>
      </c:barChart>
      <c:catAx>
        <c:axId val="121912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926784"/>
        <c:crosses val="autoZero"/>
        <c:auto val="1"/>
        <c:lblAlgn val="ctr"/>
        <c:lblOffset val="100"/>
      </c:catAx>
      <c:valAx>
        <c:axId val="121926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91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F049-F915-4D05-B46C-F1EFB39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Пользователь Windows</cp:lastModifiedBy>
  <cp:revision>2</cp:revision>
  <cp:lastPrinted>2022-06-07T07:34:00Z</cp:lastPrinted>
  <dcterms:created xsi:type="dcterms:W3CDTF">2022-07-20T13:06:00Z</dcterms:created>
  <dcterms:modified xsi:type="dcterms:W3CDTF">2022-07-20T13:06:00Z</dcterms:modified>
</cp:coreProperties>
</file>